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小标宋" w:hAnsi="Calibri" w:eastAsia="小标宋" w:cs="Times New Roman"/>
          <w:bCs/>
          <w:sz w:val="44"/>
          <w:szCs w:val="22"/>
        </w:rPr>
      </w:pPr>
      <w:r>
        <w:rPr>
          <w:rFonts w:hint="eastAsia" w:ascii="小标宋" w:hAnsi="Calibri" w:eastAsia="小标宋" w:cs="Times New Roman"/>
          <w:bCs/>
          <w:sz w:val="44"/>
          <w:szCs w:val="22"/>
        </w:rPr>
        <w:t>长安</w:t>
      </w:r>
      <w:r>
        <w:rPr>
          <w:rFonts w:ascii="小标宋" w:hAnsi="Calibri" w:eastAsia="小标宋" w:cs="Times New Roman"/>
          <w:bCs/>
          <w:sz w:val="44"/>
          <w:szCs w:val="22"/>
        </w:rPr>
        <w:t>大学2019年硕士研究生招生调剂工作</w:t>
      </w:r>
    </w:p>
    <w:p>
      <w:pPr>
        <w:spacing w:line="700" w:lineRule="exact"/>
        <w:jc w:val="center"/>
        <w:rPr>
          <w:rFonts w:ascii="小标宋" w:hAnsi="Calibri" w:eastAsia="小标宋" w:cs="Times New Roman"/>
          <w:bCs/>
          <w:sz w:val="44"/>
          <w:szCs w:val="22"/>
        </w:rPr>
      </w:pPr>
      <w:r>
        <w:rPr>
          <w:rFonts w:ascii="小标宋" w:hAnsi="Calibri" w:eastAsia="小标宋" w:cs="Times New Roman"/>
          <w:bCs/>
          <w:sz w:val="44"/>
          <w:szCs w:val="22"/>
        </w:rPr>
        <w:t>实施办法</w:t>
      </w:r>
    </w:p>
    <w:p>
      <w:pPr>
        <w:widowControl/>
        <w:shd w:val="clear" w:color="auto" w:fill="FFFFFF"/>
        <w:spacing w:before="0" w:beforeAutospacing="0" w:after="0" w:afterAutospacing="0" w:line="540" w:lineRule="exact"/>
        <w:ind w:firstLine="640" w:firstLineChars="200"/>
        <w:jc w:val="left"/>
        <w:rPr>
          <w:rFonts w:hint="eastAsia" w:ascii="仿宋_GB2312" w:hAnsi="Tahoma" w:eastAsia="仿宋_GB2312" w:cs="Tahoma"/>
          <w:color w:val="000000"/>
          <w:kern w:val="0"/>
          <w:sz w:val="32"/>
          <w:szCs w:val="32"/>
          <w:lang w:val="en-US" w:eastAsia="zh-CN" w:bidi="ar-SA"/>
        </w:rPr>
      </w:pPr>
    </w:p>
    <w:p>
      <w:pPr>
        <w:widowControl/>
        <w:shd w:val="clear" w:color="auto" w:fill="FFFFFF"/>
        <w:spacing w:before="0" w:beforeAutospacing="0" w:after="0" w:afterAutospacing="0" w:line="540" w:lineRule="exact"/>
        <w:ind w:firstLine="643" w:firstLineChars="200"/>
        <w:jc w:val="left"/>
        <w:rPr>
          <w:rFonts w:ascii="仿宋_GB2312" w:hAnsi="Tahoma" w:eastAsia="仿宋_GB2312" w:cs="宋体"/>
          <w:kern w:val="0"/>
          <w:sz w:val="32"/>
          <w:szCs w:val="32"/>
          <w:lang w:val="en-US" w:eastAsia="zh-CN" w:bidi="ar-SA"/>
        </w:rPr>
      </w:pPr>
      <w:r>
        <w:rPr>
          <w:rFonts w:hint="eastAsia" w:ascii="仿宋_GB2312" w:hAnsi="Tahoma" w:eastAsia="仿宋_GB2312" w:cs="Tahoma"/>
          <w:b/>
          <w:bCs/>
          <w:color w:val="000000"/>
          <w:kern w:val="0"/>
          <w:sz w:val="32"/>
          <w:szCs w:val="32"/>
          <w:lang w:val="en-US" w:eastAsia="zh-CN" w:bidi="ar-SA"/>
        </w:rPr>
        <w:t>一、调剂基本条件</w:t>
      </w:r>
    </w:p>
    <w:p>
      <w:pPr>
        <w:adjustRightInd w:val="0"/>
        <w:snapToGrid w:val="0"/>
        <w:spacing w:line="540" w:lineRule="exact"/>
        <w:ind w:firstLine="640" w:firstLineChars="200"/>
        <w:rPr>
          <w:rFonts w:ascii="仿宋_GB2312" w:hAnsi="宋体" w:eastAsia="仿宋_GB2312" w:cs="Tahoma"/>
          <w:color w:val="000000"/>
          <w:sz w:val="32"/>
          <w:szCs w:val="32"/>
        </w:rPr>
      </w:pPr>
      <w:r>
        <w:rPr>
          <w:rFonts w:hint="eastAsia" w:ascii="仿宋_GB2312" w:hAnsi="宋体" w:eastAsia="仿宋_GB2312" w:cs="Tahoma"/>
          <w:color w:val="000000"/>
          <w:sz w:val="32"/>
          <w:szCs w:val="32"/>
        </w:rPr>
        <w:t>1.所有申请调剂考生须已通过教育部研招网的学历校验，且无作弊违纪记录。</w:t>
      </w:r>
    </w:p>
    <w:p>
      <w:pPr>
        <w:adjustRightInd w:val="0"/>
        <w:snapToGrid w:val="0"/>
        <w:spacing w:line="540" w:lineRule="exact"/>
        <w:ind w:firstLine="640" w:firstLineChars="200"/>
        <w:rPr>
          <w:rFonts w:ascii="仿宋_GB2312" w:hAnsi="宋体" w:eastAsia="仿宋_GB2312" w:cs="Tahoma"/>
          <w:color w:val="000000"/>
          <w:sz w:val="32"/>
          <w:szCs w:val="32"/>
        </w:rPr>
      </w:pPr>
      <w:r>
        <w:rPr>
          <w:rFonts w:hint="eastAsia" w:ascii="仿宋_GB2312" w:hAnsi="宋体" w:eastAsia="仿宋_GB2312" w:cs="Tahoma"/>
          <w:color w:val="000000"/>
          <w:sz w:val="32"/>
          <w:szCs w:val="32"/>
        </w:rPr>
        <w:t>2.符合调入专业的报考条件。</w:t>
      </w:r>
    </w:p>
    <w:p>
      <w:pPr>
        <w:adjustRightInd w:val="0"/>
        <w:snapToGrid w:val="0"/>
        <w:spacing w:line="540" w:lineRule="exact"/>
        <w:ind w:firstLine="640" w:firstLineChars="200"/>
        <w:rPr>
          <w:rFonts w:ascii="仿宋_GB2312" w:hAnsi="宋体" w:eastAsia="仿宋_GB2312" w:cs="Tahoma"/>
          <w:color w:val="000000"/>
          <w:sz w:val="32"/>
          <w:szCs w:val="32"/>
        </w:rPr>
      </w:pPr>
      <w:r>
        <w:rPr>
          <w:rFonts w:hint="eastAsia" w:ascii="仿宋_GB2312" w:hAnsi="宋体" w:eastAsia="仿宋_GB2312" w:cs="Tahoma"/>
          <w:color w:val="000000"/>
          <w:sz w:val="32"/>
          <w:szCs w:val="32"/>
        </w:rPr>
        <w:t>3.初试成绩基本要求：第一志愿报考专业初试成绩必须达到教育部确定的 A类地区复试分数线基本要求。</w:t>
      </w:r>
    </w:p>
    <w:p>
      <w:pPr>
        <w:spacing w:line="540" w:lineRule="exact"/>
        <w:ind w:firstLine="640" w:firstLineChars="200"/>
        <w:outlineLvl w:val="1"/>
        <w:rPr>
          <w:rFonts w:ascii="仿宋_GB2312" w:hAnsi="宋体" w:eastAsia="仿宋_GB2312" w:cs="Tahoma"/>
          <w:color w:val="000000"/>
          <w:sz w:val="32"/>
          <w:szCs w:val="32"/>
        </w:rPr>
      </w:pPr>
      <w:r>
        <w:rPr>
          <w:rFonts w:hint="eastAsia" w:ascii="仿宋_GB2312" w:hAnsi="宋体" w:eastAsia="仿宋_GB2312" w:cs="Tahoma"/>
          <w:color w:val="000000"/>
          <w:sz w:val="32"/>
          <w:szCs w:val="32"/>
        </w:rPr>
        <w:t>4.调入专业与第一志愿报考专业相同或相近，专业学位只能申请同领域调剂。</w:t>
      </w:r>
    </w:p>
    <w:p>
      <w:pPr>
        <w:spacing w:line="540" w:lineRule="exact"/>
        <w:ind w:firstLine="640" w:firstLineChars="200"/>
        <w:outlineLvl w:val="1"/>
        <w:rPr>
          <w:rFonts w:ascii="Calibri" w:hAnsi="Calibri" w:eastAsia="仿宋_GB2312" w:cs="Times New Roman"/>
          <w:sz w:val="32"/>
          <w:szCs w:val="32"/>
        </w:rPr>
      </w:pPr>
      <w:r>
        <w:rPr>
          <w:rFonts w:hint="eastAsia" w:ascii="仿宋_GB2312" w:hAnsi="宋体" w:eastAsia="仿宋_GB2312" w:cs="Tahoma"/>
          <w:color w:val="000000"/>
          <w:sz w:val="32"/>
          <w:szCs w:val="32"/>
        </w:rPr>
        <w:t>5.</w:t>
      </w:r>
      <w:r>
        <w:rPr>
          <w:rFonts w:ascii="Calibri" w:hAnsi="Calibri" w:eastAsia="仿宋_GB2312" w:cs="Times New Roman"/>
          <w:sz w:val="32"/>
          <w:szCs w:val="32"/>
        </w:rPr>
        <w:t>考生初试科目应与调入专业初试科目相同或相近，其中统考科目原则上应相同。</w:t>
      </w:r>
    </w:p>
    <w:p>
      <w:pPr>
        <w:adjustRightInd w:val="0"/>
        <w:snapToGrid w:val="0"/>
        <w:spacing w:line="540" w:lineRule="exact"/>
        <w:ind w:firstLine="640" w:firstLineChars="200"/>
        <w:rPr>
          <w:rFonts w:ascii="仿宋_GB2312" w:hAnsi="宋体" w:eastAsia="仿宋_GB2312" w:cs="Tahoma"/>
          <w:color w:val="000000"/>
          <w:sz w:val="32"/>
          <w:szCs w:val="32"/>
        </w:rPr>
      </w:pPr>
      <w:r>
        <w:rPr>
          <w:rFonts w:hint="eastAsia" w:ascii="仿宋_GB2312" w:hAnsi="宋体" w:eastAsia="仿宋_GB2312" w:cs="Tahoma"/>
          <w:color w:val="000000"/>
          <w:sz w:val="32"/>
          <w:szCs w:val="32"/>
        </w:rPr>
        <w:t>6.公共管理（MPA）、工商管理(MBA)、工程管理(MEM)、会计硕士（</w:t>
      </w:r>
      <w:r>
        <w:rPr>
          <w:rFonts w:ascii="仿宋_GB2312" w:hAnsi="宋体" w:eastAsia="仿宋_GB2312" w:cs="Tahoma"/>
          <w:color w:val="000000"/>
          <w:sz w:val="32"/>
          <w:szCs w:val="32"/>
        </w:rPr>
        <w:t>MPAcc</w:t>
      </w:r>
      <w:r>
        <w:rPr>
          <w:rFonts w:hint="eastAsia" w:ascii="仿宋_GB2312" w:hAnsi="宋体" w:eastAsia="仿宋_GB2312" w:cs="Tahoma"/>
          <w:color w:val="000000"/>
          <w:sz w:val="32"/>
          <w:szCs w:val="32"/>
        </w:rPr>
        <w:t>）只能从管理类联考考生中调剂。</w:t>
      </w:r>
    </w:p>
    <w:p>
      <w:pPr>
        <w:adjustRightInd w:val="0"/>
        <w:snapToGrid w:val="0"/>
        <w:spacing w:line="540" w:lineRule="exact"/>
        <w:ind w:firstLine="640" w:firstLineChars="200"/>
        <w:rPr>
          <w:rFonts w:ascii="仿宋_GB2312" w:hAnsi="宋体" w:eastAsia="仿宋_GB2312" w:cs="Tahoma"/>
          <w:color w:val="000000"/>
          <w:sz w:val="32"/>
          <w:szCs w:val="32"/>
        </w:rPr>
      </w:pPr>
      <w:r>
        <w:rPr>
          <w:rFonts w:hint="eastAsia" w:ascii="仿宋_GB2312" w:hAnsi="宋体" w:eastAsia="仿宋_GB2312" w:cs="Tahoma"/>
          <w:color w:val="000000"/>
          <w:sz w:val="32"/>
          <w:szCs w:val="32"/>
        </w:rPr>
        <w:t>调剂考生必须符合以上规定和要求，如不符合调剂基本条件而造成无法通过教育部录检系统录检的，由考生自行负责。</w:t>
      </w:r>
    </w:p>
    <w:p>
      <w:pPr>
        <w:widowControl/>
        <w:shd w:val="clear" w:color="auto" w:fill="FFFFFF"/>
        <w:spacing w:before="0" w:beforeAutospacing="0" w:after="0" w:afterAutospacing="0" w:line="540" w:lineRule="exact"/>
        <w:ind w:firstLine="643" w:firstLineChars="200"/>
        <w:jc w:val="left"/>
        <w:rPr>
          <w:rFonts w:ascii="仿宋_GB2312" w:hAnsi="Tahoma" w:eastAsia="仿宋_GB2312" w:cs="宋体"/>
          <w:kern w:val="0"/>
          <w:sz w:val="32"/>
          <w:szCs w:val="32"/>
          <w:lang w:val="en-US" w:eastAsia="zh-CN" w:bidi="ar-SA"/>
        </w:rPr>
      </w:pPr>
      <w:r>
        <w:rPr>
          <w:rFonts w:hint="eastAsia" w:ascii="仿宋_GB2312" w:hAnsi="Tahoma" w:eastAsia="仿宋_GB2312" w:cs="Tahoma"/>
          <w:b/>
          <w:bCs/>
          <w:color w:val="000000"/>
          <w:kern w:val="0"/>
          <w:sz w:val="32"/>
          <w:szCs w:val="32"/>
          <w:lang w:val="en-US" w:eastAsia="zh-CN" w:bidi="ar-SA"/>
        </w:rPr>
        <w:t>二、调剂工作程序</w:t>
      </w:r>
    </w:p>
    <w:p>
      <w:pPr>
        <w:adjustRightInd w:val="0"/>
        <w:snapToGrid w:val="0"/>
        <w:spacing w:line="540" w:lineRule="exact"/>
        <w:ind w:firstLine="640" w:firstLineChars="200"/>
        <w:rPr>
          <w:rFonts w:ascii="仿宋_GB2312" w:hAnsi="宋体" w:eastAsia="仿宋_GB2312" w:cs="Tahoma"/>
          <w:color w:val="000000"/>
          <w:sz w:val="32"/>
          <w:szCs w:val="32"/>
        </w:rPr>
      </w:pPr>
      <w:r>
        <w:rPr>
          <w:rFonts w:hint="eastAsia" w:ascii="仿宋_GB2312" w:hAnsi="宋体" w:eastAsia="仿宋_GB2312" w:cs="Tahoma"/>
          <w:color w:val="000000"/>
          <w:sz w:val="32"/>
          <w:szCs w:val="32"/>
        </w:rPr>
        <w:t>1.调剂工作全部通过研究生招生信息网《全国硕士生招生调剂服务系统》进行，其他方式概不受理。</w:t>
      </w:r>
    </w:p>
    <w:p>
      <w:pPr>
        <w:adjustRightInd w:val="0"/>
        <w:snapToGrid w:val="0"/>
        <w:spacing w:line="540" w:lineRule="exact"/>
        <w:ind w:firstLine="640" w:firstLineChars="200"/>
        <w:rPr>
          <w:rFonts w:ascii="仿宋_GB2312" w:hAnsi="宋体" w:eastAsia="仿宋_GB2312" w:cs="Tahoma"/>
          <w:color w:val="000000"/>
          <w:sz w:val="32"/>
          <w:szCs w:val="32"/>
        </w:rPr>
      </w:pPr>
      <w:r>
        <w:rPr>
          <w:rFonts w:hint="eastAsia" w:ascii="仿宋_GB2312" w:hAnsi="宋体" w:eastAsia="仿宋_GB2312" w:cs="Tahoma"/>
          <w:color w:val="000000"/>
          <w:sz w:val="32"/>
          <w:szCs w:val="32"/>
        </w:rPr>
        <w:t>2.学院根据本单位各专业的生源缺额情况，向研究生招生办公室提出调剂申请，须明确接收调剂专业、接收调剂人数、接收考生调剂申请的初试成绩及其它业务要求，经研究生招生办公室审核同意后，在研招网发布相关调剂信息。</w:t>
      </w:r>
    </w:p>
    <w:p>
      <w:pPr>
        <w:adjustRightInd w:val="0"/>
        <w:snapToGrid w:val="0"/>
        <w:spacing w:line="540" w:lineRule="exact"/>
        <w:ind w:firstLine="640" w:firstLineChars="200"/>
        <w:rPr>
          <w:rFonts w:ascii="仿宋_GB2312" w:hAnsi="宋体" w:eastAsia="仿宋_GB2312" w:cs="Tahoma"/>
          <w:color w:val="000000"/>
          <w:sz w:val="32"/>
          <w:szCs w:val="32"/>
        </w:rPr>
      </w:pPr>
      <w:r>
        <w:rPr>
          <w:rFonts w:hint="eastAsia" w:ascii="仿宋_GB2312" w:hAnsi="宋体" w:eastAsia="仿宋_GB2312" w:cs="Tahoma"/>
          <w:color w:val="000000"/>
          <w:sz w:val="32"/>
          <w:szCs w:val="32"/>
        </w:rPr>
        <w:t>3.调剂系统中缺额信息发布持续时间不得低于12个小时。考生调剂志愿锁定时间为36小时，锁定时间到达后，考生可继续填报其他志愿。</w:t>
      </w:r>
      <w:bookmarkStart w:id="0" w:name="_GoBack"/>
      <w:bookmarkEnd w:id="0"/>
    </w:p>
    <w:p>
      <w:pPr>
        <w:adjustRightInd w:val="0"/>
        <w:snapToGrid w:val="0"/>
        <w:spacing w:line="540" w:lineRule="exact"/>
        <w:ind w:firstLine="640" w:firstLineChars="200"/>
        <w:rPr>
          <w:rFonts w:ascii="仿宋_GB2312" w:hAnsi="宋体" w:eastAsia="仿宋_GB2312" w:cs="Tahoma"/>
          <w:color w:val="000000"/>
          <w:sz w:val="32"/>
          <w:szCs w:val="32"/>
        </w:rPr>
      </w:pPr>
      <w:r>
        <w:rPr>
          <w:rFonts w:hint="eastAsia" w:ascii="仿宋_GB2312" w:hAnsi="宋体" w:eastAsia="仿宋_GB2312" w:cs="Tahoma"/>
          <w:color w:val="000000"/>
          <w:sz w:val="32"/>
          <w:szCs w:val="32"/>
        </w:rPr>
        <w:t>4.学院招生工作领导小组具体负责调剂工作。在规定时间内，对申请调剂考生逐一进行审核，对于申请同一专业、初试科目完全相同的调剂考生，应当按考生初试成绩择优遴选确定进入复试的考生名单，不得简单以考生提交调剂志愿的时间先后顺序等非学业水平标准作为遴选依据。</w:t>
      </w:r>
    </w:p>
    <w:p>
      <w:pPr>
        <w:adjustRightInd w:val="0"/>
        <w:snapToGrid w:val="0"/>
        <w:spacing w:line="540" w:lineRule="exact"/>
        <w:ind w:firstLine="640" w:firstLineChars="200"/>
        <w:rPr>
          <w:rFonts w:ascii="仿宋_GB2312" w:hAnsi="宋体" w:eastAsia="仿宋_GB2312" w:cs="Tahoma"/>
          <w:color w:val="000000"/>
          <w:sz w:val="32"/>
          <w:szCs w:val="32"/>
        </w:rPr>
      </w:pPr>
      <w:r>
        <w:rPr>
          <w:rFonts w:hint="eastAsia" w:ascii="仿宋_GB2312" w:hAnsi="宋体" w:eastAsia="仿宋_GB2312" w:cs="Tahoma"/>
          <w:color w:val="000000"/>
          <w:sz w:val="32"/>
          <w:szCs w:val="32"/>
        </w:rPr>
        <w:t xml:space="preserve">5.学校根据复试考生名单，通过调剂系统发送复试通知，考生接收复试通知后须按规定和要求参加复试，未在规定时间内回复视为自动放弃，取消复试资格。 </w:t>
      </w:r>
    </w:p>
    <w:p>
      <w:pPr>
        <w:adjustRightInd w:val="0"/>
        <w:snapToGrid w:val="0"/>
        <w:spacing w:line="540" w:lineRule="exact"/>
        <w:ind w:firstLine="640" w:firstLineChars="200"/>
        <w:rPr>
          <w:rFonts w:ascii="仿宋_GB2312" w:hAnsi="宋体" w:eastAsia="仿宋_GB2312" w:cs="Tahoma"/>
          <w:color w:val="000000"/>
          <w:sz w:val="32"/>
          <w:szCs w:val="32"/>
        </w:rPr>
      </w:pPr>
      <w:r>
        <w:rPr>
          <w:rFonts w:hint="eastAsia" w:ascii="仿宋_GB2312" w:hAnsi="宋体" w:eastAsia="仿宋_GB2312" w:cs="Tahoma"/>
          <w:color w:val="000000"/>
          <w:sz w:val="32"/>
          <w:szCs w:val="32"/>
        </w:rPr>
        <w:t>6.复试合格的待录取考生，学校将通过调剂系统发送待录取通知，考生须在规定时间内予以确认，未确认者视为自动放弃拟录取资格。</w:t>
      </w:r>
    </w:p>
    <w:p>
      <w:pPr>
        <w:widowControl/>
        <w:shd w:val="clear" w:color="auto" w:fill="FFFFFF"/>
        <w:spacing w:before="0" w:beforeAutospacing="0" w:after="0" w:afterAutospacing="0" w:line="540" w:lineRule="exact"/>
        <w:ind w:firstLine="643" w:firstLineChars="200"/>
        <w:jc w:val="left"/>
        <w:rPr>
          <w:rFonts w:ascii="仿宋_GB2312" w:hAnsi="Tahoma" w:eastAsia="仿宋_GB2312" w:cs="宋体"/>
          <w:kern w:val="0"/>
          <w:sz w:val="32"/>
          <w:szCs w:val="32"/>
          <w:lang w:val="en-US" w:eastAsia="zh-CN" w:bidi="ar-SA"/>
        </w:rPr>
      </w:pPr>
      <w:r>
        <w:rPr>
          <w:rFonts w:hint="eastAsia" w:ascii="仿宋_GB2312" w:hAnsi="Tahoma" w:eastAsia="仿宋_GB2312" w:cs="Tahoma"/>
          <w:b/>
          <w:bCs/>
          <w:color w:val="000000"/>
          <w:kern w:val="0"/>
          <w:sz w:val="32"/>
          <w:szCs w:val="32"/>
          <w:lang w:val="en-US" w:eastAsia="zh-CN" w:bidi="ar-SA"/>
        </w:rPr>
        <w:t>三、复试录取办法</w:t>
      </w:r>
    </w:p>
    <w:p>
      <w:pPr>
        <w:adjustRightInd w:val="0"/>
        <w:snapToGrid w:val="0"/>
        <w:spacing w:line="540" w:lineRule="exact"/>
        <w:ind w:firstLine="640" w:firstLineChars="200"/>
        <w:rPr>
          <w:rFonts w:ascii="仿宋_GB2312" w:hAnsi="宋体" w:eastAsia="仿宋_GB2312" w:cs="Tahoma"/>
          <w:color w:val="000000"/>
          <w:sz w:val="32"/>
          <w:szCs w:val="32"/>
        </w:rPr>
      </w:pPr>
      <w:r>
        <w:rPr>
          <w:rFonts w:hint="eastAsia" w:ascii="仿宋_GB2312" w:hAnsi="宋体" w:eastAsia="仿宋_GB2312" w:cs="Tahoma"/>
          <w:color w:val="000000"/>
          <w:sz w:val="32"/>
          <w:szCs w:val="32"/>
        </w:rPr>
        <w:t>复试和录取按《长安大学2019年硕士研究生复试录取办法》执行。</w:t>
      </w:r>
    </w:p>
    <w:p>
      <w:pPr>
        <w:widowControl/>
        <w:spacing w:line="540" w:lineRule="exact"/>
        <w:ind w:firstLine="643" w:firstLineChars="200"/>
        <w:jc w:val="left"/>
        <w:rPr>
          <w:rFonts w:ascii="仿宋_GB2312" w:hAnsi="宋体" w:eastAsia="仿宋_GB2312" w:cs="Tahoma"/>
          <w:b/>
          <w:color w:val="000000"/>
          <w:sz w:val="32"/>
          <w:szCs w:val="32"/>
        </w:rPr>
      </w:pPr>
      <w:r>
        <w:rPr>
          <w:rFonts w:hint="eastAsia" w:ascii="仿宋_GB2312" w:hAnsi="宋体" w:eastAsia="仿宋_GB2312" w:cs="Tahoma"/>
          <w:b/>
          <w:color w:val="000000"/>
          <w:sz w:val="32"/>
          <w:szCs w:val="32"/>
        </w:rPr>
        <w:t>四、调剂工作时间安排</w:t>
      </w:r>
    </w:p>
    <w:p>
      <w:pPr>
        <w:widowControl/>
        <w:spacing w:line="540" w:lineRule="exact"/>
        <w:ind w:firstLine="691" w:firstLineChars="216"/>
        <w:jc w:val="left"/>
        <w:rPr>
          <w:rFonts w:ascii="仿宋_GB2312" w:hAnsi="宋体" w:eastAsia="仿宋_GB2312" w:cs="Tahoma"/>
          <w:color w:val="000000"/>
          <w:sz w:val="32"/>
          <w:szCs w:val="32"/>
        </w:rPr>
      </w:pPr>
      <w:r>
        <w:rPr>
          <w:rFonts w:hint="eastAsia" w:ascii="仿宋_GB2312" w:hAnsi="宋体" w:eastAsia="仿宋_GB2312" w:cs="Tahoma"/>
          <w:color w:val="000000"/>
          <w:sz w:val="32"/>
          <w:szCs w:val="32"/>
        </w:rPr>
        <w:t>2019年3月25日至4月15日，具体以学院调剂公告为准。</w:t>
      </w:r>
    </w:p>
    <w:p>
      <w:pPr>
        <w:spacing w:line="540" w:lineRule="exact"/>
        <w:ind w:firstLine="480" w:firstLineChars="150"/>
        <w:rPr>
          <w:rFonts w:ascii="仿宋_GB2312" w:hAnsi="宋体" w:eastAsia="仿宋_GB2312" w:cs="Tahoma"/>
          <w:color w:val="000000"/>
          <w:sz w:val="32"/>
          <w:szCs w:val="32"/>
        </w:rPr>
      </w:pPr>
      <w:r>
        <w:rPr>
          <w:rFonts w:hint="eastAsia" w:ascii="仿宋_GB2312" w:hAnsi="宋体" w:eastAsia="仿宋_GB2312" w:cs="Tahoma"/>
          <w:color w:val="000000"/>
          <w:sz w:val="32"/>
          <w:szCs w:val="32"/>
        </w:rPr>
        <w:t>本办法自公布之日起实施，由长安大学研究生院负责解释。</w:t>
      </w:r>
    </w:p>
    <w:p>
      <w:pPr>
        <w:spacing w:line="540" w:lineRule="exact"/>
        <w:rPr>
          <w:rFonts w:ascii="仿宋_GB2312" w:hAnsi="Calibri" w:eastAsia="仿宋_GB2312" w:cs="Times New Roman"/>
          <w:szCs w:val="22"/>
        </w:rPr>
      </w:pPr>
    </w:p>
    <w:p>
      <w:pPr>
        <w:spacing w:line="540" w:lineRule="exact"/>
        <w:rPr>
          <w:rFonts w:ascii="仿宋_GB2312" w:hAnsi="Calibri" w:eastAsia="仿宋_GB2312" w:cs="Times New Roman"/>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小标宋">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9D4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2019-03-21T08:06:11Z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